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760" w:rsidRPr="0054487F" w:rsidRDefault="00E51819" w:rsidP="00E51819">
      <w:pPr>
        <w:spacing w:after="0"/>
        <w:jc w:val="center"/>
        <w:rPr>
          <w:rFonts w:ascii="Arial" w:hAnsi="Arial" w:cs="Arial"/>
          <w:b/>
          <w:sz w:val="20"/>
          <w:szCs w:val="20"/>
          <w:lang w:val="ms-MY"/>
        </w:rPr>
      </w:pPr>
      <w:r w:rsidRPr="0054487F">
        <w:rPr>
          <w:rFonts w:ascii="Arial" w:hAnsi="Arial" w:cs="Arial"/>
          <w:b/>
          <w:sz w:val="20"/>
          <w:szCs w:val="20"/>
          <w:lang w:val="ms-MY"/>
        </w:rPr>
        <w:t>SENARAI SEMAK PENYEDIAAN SURAT SETUJUTERIMA PERUNDING</w:t>
      </w:r>
    </w:p>
    <w:p w:rsidR="00E51819" w:rsidRPr="0054487F" w:rsidRDefault="00E51819" w:rsidP="00E51819">
      <w:pPr>
        <w:spacing w:after="0"/>
        <w:jc w:val="center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864"/>
        <w:gridCol w:w="4090"/>
        <w:gridCol w:w="2126"/>
        <w:gridCol w:w="2268"/>
      </w:tblGrid>
      <w:tr w:rsidR="00E51819" w:rsidRPr="0054487F" w:rsidTr="0054487F">
        <w:tc>
          <w:tcPr>
            <w:tcW w:w="1864" w:type="dxa"/>
          </w:tcPr>
          <w:p w:rsidR="00E51819" w:rsidRPr="00A72B6C" w:rsidRDefault="00E51819" w:rsidP="00E5181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Projek:</w:t>
            </w:r>
          </w:p>
        </w:tc>
        <w:tc>
          <w:tcPr>
            <w:tcW w:w="8484" w:type="dxa"/>
            <w:gridSpan w:val="3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51819" w:rsidRPr="0054487F" w:rsidTr="00A72B6C">
        <w:tc>
          <w:tcPr>
            <w:tcW w:w="1864" w:type="dxa"/>
            <w:vMerge w:val="restart"/>
            <w:vAlign w:val="bottom"/>
          </w:tcPr>
          <w:p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Pegawai / Jawatan Yang Menyediakan SST (P1)</w:t>
            </w:r>
          </w:p>
          <w:p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 w:val="restart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268" w:type="dxa"/>
          </w:tcPr>
          <w:p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</w:p>
        </w:tc>
      </w:tr>
      <w:tr w:rsidR="00E51819" w:rsidRPr="0054487F" w:rsidTr="00A72B6C">
        <w:tc>
          <w:tcPr>
            <w:tcW w:w="1864" w:type="dxa"/>
            <w:vMerge/>
            <w:vAlign w:val="bottom"/>
          </w:tcPr>
          <w:p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51819" w:rsidRPr="0054487F" w:rsidTr="00A72B6C">
        <w:tc>
          <w:tcPr>
            <w:tcW w:w="1864" w:type="dxa"/>
            <w:vMerge w:val="restart"/>
            <w:vAlign w:val="bottom"/>
          </w:tcPr>
          <w:p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Pegawai / Jawatan Yang Menyemak dan Melulus SST (P2)</w:t>
            </w:r>
          </w:p>
          <w:p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 w:val="restart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268" w:type="dxa"/>
          </w:tcPr>
          <w:p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</w:p>
        </w:tc>
      </w:tr>
      <w:tr w:rsidR="00E51819" w:rsidRPr="0054487F" w:rsidTr="0054487F">
        <w:tc>
          <w:tcPr>
            <w:tcW w:w="1864" w:type="dxa"/>
            <w:vMerge/>
          </w:tcPr>
          <w:p w:rsidR="00E51819" w:rsidRPr="0054487F" w:rsidRDefault="00E51819" w:rsidP="00402D3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E51819" w:rsidRPr="0054487F" w:rsidRDefault="00E51819" w:rsidP="00E51819">
      <w:pPr>
        <w:spacing w:after="0"/>
        <w:jc w:val="center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2268"/>
      </w:tblGrid>
      <w:tr w:rsidR="0054487F" w:rsidRPr="0054487F" w:rsidTr="00A72B6C">
        <w:tc>
          <w:tcPr>
            <w:tcW w:w="567" w:type="dxa"/>
            <w:vMerge w:val="restart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4962" w:type="dxa"/>
            <w:vMerge w:val="restart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Butir-Butir Semakan</w:t>
            </w:r>
          </w:p>
        </w:tc>
        <w:tc>
          <w:tcPr>
            <w:tcW w:w="1275" w:type="dxa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Disediakan</w:t>
            </w:r>
          </w:p>
        </w:tc>
        <w:tc>
          <w:tcPr>
            <w:tcW w:w="1276" w:type="dxa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Disemak &amp; Diluluskan</w:t>
            </w:r>
          </w:p>
        </w:tc>
        <w:tc>
          <w:tcPr>
            <w:tcW w:w="2268" w:type="dxa"/>
            <w:vMerge w:val="restart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</w:t>
            </w:r>
          </w:p>
        </w:tc>
      </w:tr>
      <w:tr w:rsidR="0054487F" w:rsidRPr="0054487F" w:rsidTr="0054487F">
        <w:tc>
          <w:tcPr>
            <w:tcW w:w="567" w:type="dxa"/>
            <w:vMerge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  <w:vMerge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54487F" w:rsidRPr="00A72B6C" w:rsidRDefault="0054487F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P1</w:t>
            </w:r>
          </w:p>
        </w:tc>
        <w:tc>
          <w:tcPr>
            <w:tcW w:w="1276" w:type="dxa"/>
          </w:tcPr>
          <w:p w:rsidR="0054487F" w:rsidRPr="00A72B6C" w:rsidRDefault="0054487F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P2</w:t>
            </w:r>
          </w:p>
        </w:tc>
        <w:tc>
          <w:tcPr>
            <w:tcW w:w="2268" w:type="dxa"/>
            <w:vMerge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4487F" w:rsidRPr="0054487F" w:rsidTr="0054487F">
        <w:tc>
          <w:tcPr>
            <w:tcW w:w="567" w:type="dxa"/>
          </w:tcPr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1.0</w:t>
            </w: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930FB" w:rsidRDefault="007930FB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2.0</w:t>
            </w: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C658E" w:rsidRDefault="004C658E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Pr="0054487F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3.0</w:t>
            </w:r>
          </w:p>
        </w:tc>
        <w:tc>
          <w:tcPr>
            <w:tcW w:w="4962" w:type="dxa"/>
          </w:tcPr>
          <w:p w:rsidR="00340CBA" w:rsidRDefault="00340CBA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Penyediaan SST hendaklah merujuk kepada tatacara penyediaan SST sebagaimana di Pekeliling Perbendaharaan:PK3.8 – Surat Setuju Terima dan Perjanjian Perunding.</w:t>
            </w:r>
          </w:p>
          <w:p w:rsidR="0054487F" w:rsidRDefault="0054487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Jika keputusan Lembaga Perolehan memerlukan penyediaan Surat Niat, pastikan Surat Niat telah ditandatangani dan dipersetujui perunding sebelum SST dikeluarkan.</w:t>
            </w:r>
          </w:p>
          <w:p w:rsidR="00340CBA" w:rsidRDefault="00340CBA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Sebelum SST dikeluarkan, pastikan semua sijil pendaftaran syarikat ROC/ROB, sijil pendaftaran syarikat dengan MOF, sijil pendaftaran dengan Lembaga Jurutera Malaysia masih belum luput. Jika tarikh telah luput, pastikan sijil telah diperbaharui sebelum SST dikeluarkan.</w:t>
            </w:r>
            <w:r w:rsidR="007930FB">
              <w:rPr>
                <w:rFonts w:ascii="Arial" w:hAnsi="Arial" w:cs="Arial"/>
                <w:sz w:val="20"/>
                <w:szCs w:val="20"/>
                <w:lang w:val="ms-MY"/>
              </w:rPr>
              <w:t xml:space="preserve"> Pastikan juga peruntukan mencukupi sebelum SST dikeluarkan.</w:t>
            </w:r>
          </w:p>
          <w:p w:rsidR="0054487F" w:rsidRDefault="0054487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54487F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Pastikan pemilihan format </w:t>
            </w:r>
            <w:r w:rsidR="00340CBA">
              <w:rPr>
                <w:rFonts w:ascii="Arial" w:hAnsi="Arial" w:cs="Arial"/>
                <w:sz w:val="20"/>
                <w:szCs w:val="20"/>
                <w:lang w:val="ms-MY"/>
              </w:rPr>
              <w:t>SST perunding:</w:t>
            </w:r>
          </w:p>
          <w:p w:rsidR="00340CBA" w:rsidRDefault="00340CBA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340CBA" w:rsidP="00340CBA">
            <w:pPr>
              <w:pStyle w:val="ListParagraph"/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340CBA">
              <w:rPr>
                <w:rFonts w:ascii="Arial" w:hAnsi="Arial" w:cs="Arial"/>
                <w:sz w:val="20"/>
                <w:szCs w:val="20"/>
                <w:lang w:val="ms-MY"/>
              </w:rPr>
              <w:t xml:space="preserve">Firma 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tidak </w:t>
            </w:r>
            <w:r w:rsidRPr="00340CBA">
              <w:rPr>
                <w:rFonts w:ascii="Arial" w:hAnsi="Arial" w:cs="Arial"/>
                <w:sz w:val="20"/>
                <w:szCs w:val="20"/>
                <w:lang w:val="ms-MY"/>
              </w:rPr>
              <w:t>berdaftar di bawah Jabatan Kasta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m Diraja Malaysia (JKDM) di bawah Akta Cukai Perkhidmatan 2018</w:t>
            </w:r>
            <w:r w:rsidR="00A72B6C">
              <w:rPr>
                <w:rFonts w:ascii="Arial" w:hAnsi="Arial" w:cs="Arial"/>
                <w:sz w:val="20"/>
                <w:szCs w:val="20"/>
                <w:lang w:val="ms-MY"/>
              </w:rPr>
              <w:t xml:space="preserve"> (Lampiran 1 PK3.8)</w:t>
            </w:r>
          </w:p>
          <w:p w:rsidR="00340CBA" w:rsidRPr="00340CBA" w:rsidRDefault="00340CBA" w:rsidP="00340CBA">
            <w:pPr>
              <w:pStyle w:val="ListParagraph"/>
              <w:ind w:left="318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340CBA" w:rsidP="00A72B6C">
            <w:pPr>
              <w:pStyle w:val="ListParagraph"/>
              <w:numPr>
                <w:ilvl w:val="0"/>
                <w:numId w:val="1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Firma berdaftar di bawah Jabatan Kastam Diraja Malaysia (JKDM)</w:t>
            </w:r>
            <w:r w:rsidR="00A72B6C">
              <w:rPr>
                <w:rFonts w:ascii="Arial" w:hAnsi="Arial" w:cs="Arial"/>
                <w:sz w:val="20"/>
                <w:szCs w:val="20"/>
                <w:lang w:val="ms-MY"/>
              </w:rPr>
              <w:t xml:space="preserve"> di bawah Akta Cukai Perkhidmatan 2018 (Lampiran 2 PK3.8)</w:t>
            </w:r>
          </w:p>
          <w:p w:rsidR="00340CBA" w:rsidRDefault="00340CBA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340CBA">
            <w:pPr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Jika firma berdaftar dengan JKDM, semak sijil pendaft</w:t>
            </w:r>
            <w:r w:rsidR="004C658E">
              <w:rPr>
                <w:rFonts w:ascii="Arial" w:hAnsi="Arial" w:cs="Arial"/>
                <w:i/>
                <w:sz w:val="20"/>
                <w:szCs w:val="20"/>
                <w:lang w:val="ms-MY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ran perunding</w:t>
            </w:r>
            <w:r w:rsidR="004C658E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dengan JKDM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dan tarikh luput.</w:t>
            </w:r>
          </w:p>
          <w:p w:rsidR="00340CBA" w:rsidRDefault="00340CBA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Isikan perkara-perkara berikut:</w:t>
            </w:r>
          </w:p>
          <w:p w:rsidR="00A72B6C" w:rsidRDefault="00A72B6C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Nombor rujukan fail</w:t>
            </w:r>
          </w:p>
          <w:p w:rsidR="00A72B6C" w:rsidRDefault="00A72B6C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Tarikh Surat</w:t>
            </w:r>
          </w:p>
          <w:p w:rsidR="00A72B6C" w:rsidRDefault="00A72B6C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Nama syarikat perunding</w:t>
            </w:r>
          </w:p>
          <w:p w:rsidR="00A72B6C" w:rsidRDefault="00A72B6C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Tajuk perkhidmatan perunding (potong yang tidak berkenaan untuk jenis perolehan perunding)</w:t>
            </w:r>
          </w:p>
          <w:p w:rsidR="00A72B6C" w:rsidRDefault="00A72B6C" w:rsidP="007930FB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4E78" w:rsidRPr="00A72B6C" w:rsidRDefault="00184E78" w:rsidP="007930FB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2B6C" w:rsidRPr="0054487F" w:rsidTr="00402D32">
        <w:tc>
          <w:tcPr>
            <w:tcW w:w="567" w:type="dxa"/>
            <w:vMerge w:val="restart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Bil</w:t>
            </w:r>
          </w:p>
        </w:tc>
        <w:tc>
          <w:tcPr>
            <w:tcW w:w="4962" w:type="dxa"/>
            <w:vMerge w:val="restart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Butir-Butir Semakan</w:t>
            </w:r>
          </w:p>
        </w:tc>
        <w:tc>
          <w:tcPr>
            <w:tcW w:w="1275" w:type="dxa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Disediakan</w:t>
            </w:r>
          </w:p>
        </w:tc>
        <w:tc>
          <w:tcPr>
            <w:tcW w:w="1276" w:type="dxa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Disemak &amp; Diluluskan</w:t>
            </w:r>
          </w:p>
        </w:tc>
        <w:tc>
          <w:tcPr>
            <w:tcW w:w="2268" w:type="dxa"/>
            <w:vMerge w:val="restart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</w:t>
            </w:r>
          </w:p>
        </w:tc>
      </w:tr>
      <w:tr w:rsidR="00A72B6C" w:rsidRPr="0054487F" w:rsidTr="00402D32">
        <w:tc>
          <w:tcPr>
            <w:tcW w:w="567" w:type="dxa"/>
            <w:vMerge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  <w:vMerge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P1</w:t>
            </w:r>
          </w:p>
        </w:tc>
        <w:tc>
          <w:tcPr>
            <w:tcW w:w="1276" w:type="dxa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P2</w:t>
            </w:r>
          </w:p>
        </w:tc>
        <w:tc>
          <w:tcPr>
            <w:tcW w:w="2268" w:type="dxa"/>
            <w:vMerge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2B6C" w:rsidRPr="0054487F" w:rsidTr="00402D32">
        <w:tc>
          <w:tcPr>
            <w:tcW w:w="567" w:type="dxa"/>
          </w:tcPr>
          <w:p w:rsidR="00E94882" w:rsidRDefault="00E94882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</w:tcPr>
          <w:p w:rsidR="00E94882" w:rsidRDefault="00E94882" w:rsidP="00E94882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930FB" w:rsidRPr="00AA1264" w:rsidRDefault="007930FB" w:rsidP="007930FB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Nombor tender/kontrak</w:t>
            </w:r>
          </w:p>
          <w:p w:rsidR="00A72B6C" w:rsidRDefault="00A72B6C" w:rsidP="00402D3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4C658E" w:rsidP="007930FB">
            <w:pPr>
              <w:pStyle w:val="ListParagraph"/>
              <w:numPr>
                <w:ilvl w:val="0"/>
                <w:numId w:val="2"/>
              </w:numPr>
              <w:ind w:left="459" w:hanging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Harga Kontrak Perunding dalam bentuk </w:t>
            </w:r>
            <w:r w:rsidRPr="005E7B56">
              <w:rPr>
                <w:rFonts w:ascii="Arial" w:hAnsi="Arial" w:cs="Arial"/>
                <w:b/>
                <w:sz w:val="20"/>
                <w:szCs w:val="20"/>
                <w:lang w:val="ms-MY"/>
              </w:rPr>
              <w:t>perkataan</w:t>
            </w:r>
          </w:p>
          <w:p w:rsidR="004C658E" w:rsidRDefault="004C658E" w:rsidP="004C658E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(Yuran Ikhtisas + Kos Penyeliaan + Kos Imbuhan Balik + 6% cukai perkhidmatan)</w:t>
            </w:r>
          </w:p>
          <w:p w:rsidR="004C658E" w:rsidRDefault="004C658E" w:rsidP="004C658E">
            <w:pPr>
              <w:pStyle w:val="ListParagraph"/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C658E" w:rsidRDefault="004C658E" w:rsidP="007930FB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Harga Kontrak Perunding dalam </w:t>
            </w:r>
            <w:r w:rsidRPr="005E7B56">
              <w:rPr>
                <w:rFonts w:ascii="Arial" w:hAnsi="Arial" w:cs="Arial"/>
                <w:b/>
                <w:sz w:val="20"/>
                <w:szCs w:val="20"/>
                <w:lang w:val="ms-MY"/>
              </w:rPr>
              <w:t>nombor</w:t>
            </w:r>
          </w:p>
          <w:p w:rsidR="004C658E" w:rsidRDefault="004C658E" w:rsidP="004C658E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(Yuran Ikhtisas + Kos Penyeliaan + Kos Imbuhan Balik + 6% cukai perkhidmatan)</w:t>
            </w:r>
          </w:p>
          <w:p w:rsidR="004C658E" w:rsidRDefault="004C658E" w:rsidP="004C658E">
            <w:pPr>
              <w:pStyle w:val="ListParagraph"/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C658E" w:rsidRDefault="004C658E" w:rsidP="007930FB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Tempoh perkhidmatan perunding </w:t>
            </w:r>
            <w:r w:rsidR="005E7B56">
              <w:rPr>
                <w:rFonts w:ascii="Arial" w:hAnsi="Arial" w:cs="Arial"/>
                <w:sz w:val="20"/>
                <w:szCs w:val="20"/>
                <w:lang w:val="ms-MY"/>
              </w:rPr>
              <w:t>(bulan)</w:t>
            </w:r>
          </w:p>
          <w:p w:rsidR="007930FB" w:rsidRDefault="007930FB" w:rsidP="007930FB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C658E" w:rsidRDefault="004C658E" w:rsidP="007930FB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Pilih tempoh pengemukaan dokumen-dokumen berkaitan </w:t>
            </w:r>
            <w:r w:rsidR="005E7B56">
              <w:rPr>
                <w:rFonts w:ascii="Arial" w:hAnsi="Arial" w:cs="Arial"/>
                <w:sz w:val="20"/>
                <w:szCs w:val="20"/>
                <w:lang w:val="ms-MY"/>
              </w:rPr>
              <w:t>(14 hari atau 30 hari)</w:t>
            </w:r>
          </w:p>
          <w:p w:rsidR="007930FB" w:rsidRPr="007930FB" w:rsidRDefault="007930FB" w:rsidP="007930FB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E7B56" w:rsidRDefault="005E7B56" w:rsidP="007930FB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Pelaksanaan Program Protege (bagi perkhidmatan perunding yang mencapai nilai ambang RM5juta ke atas sahaja)</w:t>
            </w:r>
          </w:p>
          <w:p w:rsidR="005E7B56" w:rsidRDefault="005E7B56" w:rsidP="005E7B56">
            <w:pPr>
              <w:pStyle w:val="ListParagraph"/>
              <w:ind w:left="459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Potong para 6 yang tidak berkaitan jika harga kontrak perunding kurang dari RM5juta.</w:t>
            </w:r>
          </w:p>
          <w:p w:rsidR="005E7B56" w:rsidRDefault="005E7B56" w:rsidP="005E7B56">
            <w:pPr>
              <w:pStyle w:val="ListParagraph"/>
              <w:ind w:left="459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5E7B56" w:rsidRDefault="005E7B56" w:rsidP="005E7B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E7B56">
              <w:rPr>
                <w:rFonts w:ascii="Arial" w:hAnsi="Arial" w:cs="Arial"/>
                <w:b/>
                <w:sz w:val="20"/>
                <w:szCs w:val="20"/>
                <w:lang w:val="ms-MY"/>
              </w:rPr>
              <w:t>Lampiran A</w:t>
            </w:r>
          </w:p>
          <w:p w:rsidR="005E7B56" w:rsidRDefault="005E7B56" w:rsidP="005E7B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E7B56" w:rsidRDefault="00AA3CEF" w:rsidP="00AA3CEF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Pendaftaran syarikat dengan SSM</w:t>
            </w:r>
          </w:p>
          <w:p w:rsidR="00AA3CEF" w:rsidRDefault="00AA3CEF" w:rsidP="00AA3CEF">
            <w:pPr>
              <w:pStyle w:val="ListParagraph"/>
              <w:numPr>
                <w:ilvl w:val="0"/>
                <w:numId w:val="7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AA3CEF" w:rsidRDefault="00AA3CEF" w:rsidP="00AA3CEF">
            <w:pPr>
              <w:pStyle w:val="ListParagraph"/>
              <w:numPr>
                <w:ilvl w:val="0"/>
                <w:numId w:val="7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AA3CEF" w:rsidRDefault="00AA3CEF" w:rsidP="00AA3CE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A3CEF" w:rsidRDefault="00AA3CEF" w:rsidP="00AA3CEF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Pendaftaran Syarikat dengan Lembaga Profesional</w:t>
            </w:r>
          </w:p>
          <w:p w:rsidR="00AA3CEF" w:rsidRPr="00AA3CEF" w:rsidRDefault="00AA3CEF" w:rsidP="00AA3CEF">
            <w:pPr>
              <w:pStyle w:val="ListParagraph"/>
              <w:numPr>
                <w:ilvl w:val="0"/>
                <w:numId w:val="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AA3CEF" w:rsidRPr="00AA3CEF" w:rsidRDefault="00AA3CEF" w:rsidP="00AA3CEF">
            <w:pPr>
              <w:pStyle w:val="ListParagraph"/>
              <w:numPr>
                <w:ilvl w:val="0"/>
                <w:numId w:val="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AA3CEF" w:rsidRDefault="00AA3CEF" w:rsidP="00AA3CEF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A3CEF" w:rsidRDefault="00AA3CEF" w:rsidP="00AA3CEF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Pendaftaran dengan Kementerian Kewangan</w:t>
            </w:r>
          </w:p>
          <w:p w:rsidR="00AA3CEF" w:rsidRPr="00AA3CEF" w:rsidRDefault="00AA3CEF" w:rsidP="00AA3CEF">
            <w:pPr>
              <w:pStyle w:val="ListParagraph"/>
              <w:numPr>
                <w:ilvl w:val="0"/>
                <w:numId w:val="10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AA3CEF" w:rsidRDefault="00AA3CEF" w:rsidP="00AA3CEF">
            <w:pPr>
              <w:pStyle w:val="ListParagraph"/>
              <w:numPr>
                <w:ilvl w:val="0"/>
                <w:numId w:val="10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AA3CEF" w:rsidRDefault="00AA3CEF" w:rsidP="00AA3CEF">
            <w:pPr>
              <w:pStyle w:val="ListParagraph"/>
              <w:numPr>
                <w:ilvl w:val="0"/>
                <w:numId w:val="10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Kod Bidang</w:t>
            </w:r>
          </w:p>
          <w:p w:rsidR="00AA3CEF" w:rsidRDefault="00AA3CEF" w:rsidP="00AA3CEF">
            <w:pPr>
              <w:pStyle w:val="ListParagraph"/>
              <w:numPr>
                <w:ilvl w:val="0"/>
                <w:numId w:val="10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Ekuiti Bumiputera</w:t>
            </w:r>
          </w:p>
          <w:p w:rsidR="00AA3CEF" w:rsidRDefault="00AA3CEF" w:rsidP="00AA3CE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A3CEF" w:rsidRDefault="00AA3CEF" w:rsidP="00AA3CEF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Pendaftaran Cukai dengan Jabatan Kastam Diraja Malaysia</w:t>
            </w:r>
          </w:p>
          <w:p w:rsidR="00AA3CEF" w:rsidRDefault="00AA3CEF" w:rsidP="00C735FA">
            <w:pPr>
              <w:pStyle w:val="ListParagraph"/>
              <w:numPr>
                <w:ilvl w:val="0"/>
                <w:numId w:val="11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AA3CEF" w:rsidRDefault="00AA3CEF" w:rsidP="00C735FA">
            <w:pPr>
              <w:pStyle w:val="ListParagraph"/>
              <w:numPr>
                <w:ilvl w:val="0"/>
                <w:numId w:val="11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Tarikh Kuatkuasa</w:t>
            </w:r>
          </w:p>
          <w:p w:rsidR="00C735FA" w:rsidRDefault="00C735FA" w:rsidP="00C735FA">
            <w:pPr>
              <w:pStyle w:val="ListParagraph"/>
              <w:ind w:left="117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A3CEF" w:rsidRPr="00AA3CEF" w:rsidRDefault="00AA3CEF" w:rsidP="00AA3CEF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Harga dan Tempoh Kontrak</w:t>
            </w:r>
          </w:p>
          <w:p w:rsidR="00AA3CEF" w:rsidRDefault="00C735FA" w:rsidP="00C735FA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Harga LTBKS/Tender (Nyatakan pecahan kos melalui </w:t>
            </w:r>
            <w:r w:rsidRPr="00AA1264">
              <w:rPr>
                <w:rFonts w:ascii="Arial" w:hAnsi="Arial" w:cs="Arial"/>
                <w:b/>
                <w:sz w:val="20"/>
                <w:szCs w:val="20"/>
                <w:lang w:val="ms-MY"/>
              </w:rPr>
              <w:t>Lampiran A1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sepertimana kelulusan JPP/LP)</w:t>
            </w:r>
          </w:p>
          <w:p w:rsidR="00C735FA" w:rsidRDefault="00C735FA" w:rsidP="00C735FA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Peruntukan cukai perkhidmatan (6% dari kos perkhidmatan perunding)</w:t>
            </w:r>
          </w:p>
          <w:p w:rsidR="00C735FA" w:rsidRDefault="00C735FA" w:rsidP="00C735FA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Harga Kontrak (kos perkhidmatan perunding + cukai perkhidmatan 6%)</w:t>
            </w:r>
          </w:p>
          <w:p w:rsidR="006E7179" w:rsidRDefault="006E7179" w:rsidP="00C735FA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Tempoh perkhidmatan (sepertimana yang diluluskan)</w:t>
            </w:r>
          </w:p>
          <w:p w:rsidR="00C735FA" w:rsidRDefault="00C735FA" w:rsidP="00C735FA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Nyatakan tarikh mula perkhidmatan</w:t>
            </w:r>
          </w:p>
          <w:p w:rsidR="00C735FA" w:rsidRDefault="00C735FA" w:rsidP="00C735FA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Nyatakan tarikh tamat perkhidmatan</w:t>
            </w:r>
          </w:p>
          <w:p w:rsidR="006E7179" w:rsidRDefault="006E7179" w:rsidP="006E7179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6E7179" w:rsidRDefault="006E7179" w:rsidP="006E7179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Term</w:t>
            </w:r>
            <w:r w:rsidR="00AA1264">
              <w:rPr>
                <w:rFonts w:ascii="Arial" w:hAnsi="Arial" w:cs="Arial"/>
                <w:sz w:val="20"/>
                <w:szCs w:val="20"/>
                <w:lang w:val="ms-MY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Rujukan/Skop Perkhidmatan Perunding</w:t>
            </w:r>
            <w:r w:rsidR="00AA1264">
              <w:rPr>
                <w:rFonts w:ascii="Arial" w:hAnsi="Arial" w:cs="Arial"/>
                <w:sz w:val="20"/>
                <w:szCs w:val="20"/>
                <w:lang w:val="ms-MY"/>
              </w:rPr>
              <w:t xml:space="preserve"> (Disediakan sebagai </w:t>
            </w:r>
            <w:r w:rsidR="00AA1264" w:rsidRPr="00AA1264">
              <w:rPr>
                <w:rFonts w:ascii="Arial" w:hAnsi="Arial" w:cs="Arial"/>
                <w:b/>
                <w:sz w:val="20"/>
                <w:szCs w:val="20"/>
                <w:lang w:val="ms-MY"/>
              </w:rPr>
              <w:t>Lampiran A2</w:t>
            </w:r>
            <w:r w:rsidR="00AA1264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  <w:p w:rsidR="00AA1264" w:rsidRDefault="00AA1264" w:rsidP="00AA1264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BE195C" w:rsidRDefault="00BE195C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4E78" w:rsidRDefault="00184E78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930FB" w:rsidRPr="00A72B6C" w:rsidRDefault="007930FB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A1264" w:rsidRPr="00A72B6C" w:rsidTr="007819A4">
        <w:tc>
          <w:tcPr>
            <w:tcW w:w="567" w:type="dxa"/>
            <w:vMerge w:val="restart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Bil</w:t>
            </w:r>
          </w:p>
        </w:tc>
        <w:tc>
          <w:tcPr>
            <w:tcW w:w="4962" w:type="dxa"/>
            <w:vMerge w:val="restart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Butir-Butir Semakan</w:t>
            </w:r>
          </w:p>
        </w:tc>
        <w:tc>
          <w:tcPr>
            <w:tcW w:w="1275" w:type="dxa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Disediakan</w:t>
            </w:r>
          </w:p>
        </w:tc>
        <w:tc>
          <w:tcPr>
            <w:tcW w:w="1276" w:type="dxa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Disemak &amp; Diluluskan</w:t>
            </w:r>
          </w:p>
        </w:tc>
        <w:tc>
          <w:tcPr>
            <w:tcW w:w="2268" w:type="dxa"/>
            <w:vMerge w:val="restart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</w:t>
            </w:r>
          </w:p>
        </w:tc>
      </w:tr>
      <w:tr w:rsidR="00AA1264" w:rsidRPr="0054487F" w:rsidTr="007819A4">
        <w:tc>
          <w:tcPr>
            <w:tcW w:w="567" w:type="dxa"/>
            <w:vMerge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  <w:vMerge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P1</w:t>
            </w:r>
          </w:p>
        </w:tc>
        <w:tc>
          <w:tcPr>
            <w:tcW w:w="1276" w:type="dxa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P2</w:t>
            </w:r>
          </w:p>
        </w:tc>
        <w:tc>
          <w:tcPr>
            <w:tcW w:w="2268" w:type="dxa"/>
            <w:vMerge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A1264" w:rsidRPr="0054487F" w:rsidTr="007819A4">
        <w:tc>
          <w:tcPr>
            <w:tcW w:w="567" w:type="dxa"/>
          </w:tcPr>
          <w:p w:rsidR="00AA1264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</w:tcPr>
          <w:p w:rsidR="007930FB" w:rsidRDefault="007930FB" w:rsidP="007930FB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930FB" w:rsidRPr="007930FB" w:rsidRDefault="007930FB" w:rsidP="007930FB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930FB">
              <w:rPr>
                <w:rFonts w:ascii="Arial" w:hAnsi="Arial" w:cs="Arial"/>
                <w:sz w:val="20"/>
                <w:szCs w:val="20"/>
                <w:lang w:val="ms-MY"/>
              </w:rPr>
              <w:t>Polisi Insurans Tanggung Rugi Profesional (Profesional Indemnity Insurance)</w:t>
            </w:r>
          </w:p>
          <w:p w:rsidR="00AA1264" w:rsidRPr="007930FB" w:rsidRDefault="007930FB" w:rsidP="00451B86">
            <w:pPr>
              <w:pStyle w:val="ListParagraph"/>
              <w:numPr>
                <w:ilvl w:val="0"/>
                <w:numId w:val="17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930FB">
              <w:rPr>
                <w:rFonts w:ascii="Arial" w:hAnsi="Arial" w:cs="Arial"/>
                <w:sz w:val="20"/>
                <w:szCs w:val="20"/>
                <w:lang w:val="ms-MY"/>
              </w:rPr>
              <w:t>Jumlah insurans adalah jumlah Yuran Ikhtisas (tidak termasuk kos penyeliaan dan imbuhan balik)</w:t>
            </w:r>
          </w:p>
          <w:p w:rsidR="007930FB" w:rsidRPr="007930FB" w:rsidRDefault="007930FB" w:rsidP="007930FB">
            <w:pPr>
              <w:pStyle w:val="ListParagraph"/>
              <w:ind w:left="117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bookmarkStart w:id="0" w:name="_GoBack"/>
            <w:bookmarkEnd w:id="0"/>
          </w:p>
          <w:p w:rsidR="00AA1264" w:rsidRDefault="007930FB" w:rsidP="00AA1264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Kenaan </w:t>
            </w:r>
            <w:r w:rsidRPr="007930FB">
              <w:rPr>
                <w:rFonts w:ascii="Arial" w:hAnsi="Arial" w:cs="Arial"/>
                <w:i/>
                <w:sz w:val="20"/>
                <w:szCs w:val="20"/>
                <w:lang w:val="ms-MY"/>
              </w:rPr>
              <w:t>Liquidated and Ascertained Damages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(LAD)</w:t>
            </w:r>
          </w:p>
          <w:p w:rsidR="007930FB" w:rsidRDefault="007930FB" w:rsidP="007930FB">
            <w:pPr>
              <w:pStyle w:val="ListParagraph"/>
              <w:numPr>
                <w:ilvl w:val="0"/>
                <w:numId w:val="15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Pengiraan menggunakan BLR (Base Lending Rate) mengikut tarikh tutup pelawaan (LTBKS) / Tarikh tutup tender terbuka perunding.</w:t>
            </w:r>
          </w:p>
          <w:p w:rsidR="007930FB" w:rsidRDefault="007930FB" w:rsidP="00A52CE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Pengiraan mengikut formula</w:t>
            </w:r>
            <w:r w:rsidR="00A20B20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:rsidR="00A20B20" w:rsidRDefault="00A20B20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8F421" wp14:editId="366A705A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133985</wp:posOffset>
                      </wp:positionV>
                      <wp:extent cx="9906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6pt,10.55pt" to="201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EE3E8C" wp14:editId="64E2371B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133985</wp:posOffset>
                      </wp:positionV>
                      <wp:extent cx="457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10.55pt" to="87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=    BLR       x     </w:t>
            </w:r>
            <w:r w:rsidR="00A52CED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Yuran Perunding</w:t>
            </w:r>
            <w:r w:rsidR="002C6F58">
              <w:rPr>
                <w:rFonts w:ascii="Arial" w:hAnsi="Arial" w:cs="Arial"/>
                <w:sz w:val="20"/>
                <w:szCs w:val="20"/>
                <w:lang w:val="ms-MY"/>
              </w:rPr>
              <w:t>*</w:t>
            </w:r>
          </w:p>
          <w:p w:rsidR="007930FB" w:rsidRDefault="00A20B20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100                      365</w:t>
            </w:r>
          </w:p>
          <w:p w:rsidR="00A20B20" w:rsidRDefault="00A20B20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= _______/sehari</w:t>
            </w:r>
          </w:p>
          <w:p w:rsidR="00A20B20" w:rsidRDefault="00A20B20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20B20" w:rsidRDefault="00A52CE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Nilai minimum untuk LAD adalah</w:t>
            </w:r>
            <w:r w:rsidR="00A20B20">
              <w:rPr>
                <w:rFonts w:ascii="Arial" w:hAnsi="Arial" w:cs="Arial"/>
                <w:sz w:val="20"/>
                <w:szCs w:val="20"/>
                <w:lang w:val="ms-MY"/>
              </w:rPr>
              <w:t xml:space="preserve"> RM100/sehari</w:t>
            </w:r>
          </w:p>
          <w:p w:rsidR="00A52CED" w:rsidRPr="00A20B20" w:rsidRDefault="00A52CE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20B20" w:rsidRDefault="002C6F58" w:rsidP="007930FB">
            <w:pPr>
              <w:pStyle w:val="ListParagraph"/>
              <w:ind w:left="885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*</w:t>
            </w:r>
            <w:r w:rsidR="00A20B20">
              <w:rPr>
                <w:rFonts w:ascii="Arial" w:hAnsi="Arial" w:cs="Arial"/>
                <w:i/>
                <w:sz w:val="20"/>
                <w:szCs w:val="20"/>
                <w:lang w:val="ms-MY"/>
              </w:rPr>
              <w:t>Yuran Perunding adalah Yuran Ikhtisas + Kos Penyeliaan.</w:t>
            </w:r>
          </w:p>
          <w:p w:rsidR="00A20B20" w:rsidRDefault="00A20B20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52CED" w:rsidRDefault="00A52CED" w:rsidP="00A52CED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Pemakaian PROTEGE (nilai ambang sebanyak RM5juta ke atas </w:t>
            </w:r>
            <w:r w:rsidR="002C6F58">
              <w:rPr>
                <w:rFonts w:ascii="Arial" w:hAnsi="Arial" w:cs="Arial"/>
                <w:sz w:val="20"/>
                <w:szCs w:val="20"/>
                <w:lang w:val="ms-MY"/>
              </w:rPr>
              <w:t>untuk Harga Kontrak Perunding – PK1.2)</w:t>
            </w:r>
          </w:p>
          <w:p w:rsidR="002C6F58" w:rsidRDefault="002C6F58" w:rsidP="002C6F58">
            <w:pPr>
              <w:pStyle w:val="ListParagraph"/>
              <w:numPr>
                <w:ilvl w:val="0"/>
                <w:numId w:val="1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Tertakluk kepada pelaksanaan program PROTEGE (Ya/Tidak)</w:t>
            </w:r>
          </w:p>
          <w:p w:rsidR="002C6F58" w:rsidRDefault="002C6F58" w:rsidP="002C6F58">
            <w:pPr>
              <w:pStyle w:val="ListParagraph"/>
              <w:numPr>
                <w:ilvl w:val="0"/>
                <w:numId w:val="1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Bilangan minimum peserta mengikut formula pengiraan</w:t>
            </w:r>
          </w:p>
          <w:p w:rsidR="002C6F58" w:rsidRDefault="002C6F58" w:rsidP="002C6F58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C6F58" w:rsidRPr="00A52CED" w:rsidRDefault="002C6F58" w:rsidP="002C6F58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134620</wp:posOffset>
                      </wp:positionV>
                      <wp:extent cx="1123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0.6pt" to="134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1% x Harga Kontrak*</w:t>
            </w:r>
          </w:p>
          <w:p w:rsidR="00A20B20" w:rsidRDefault="002C6F58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 RM24,000**</w:t>
            </w:r>
          </w:p>
          <w:p w:rsidR="002C6F58" w:rsidRDefault="002C6F58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2C6F58" w:rsidRDefault="002C6F58" w:rsidP="007930FB">
            <w:pPr>
              <w:pStyle w:val="ListParagraph"/>
              <w:ind w:left="885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*Untuk tujuan pengiraan, Harga Kontrak adalah nilai tawaran yang dipersetujui tanpa cukai</w:t>
            </w:r>
          </w:p>
          <w:p w:rsidR="002C6F58" w:rsidRDefault="002C6F58" w:rsidP="007930FB">
            <w:pPr>
              <w:pStyle w:val="ListParagraph"/>
              <w:ind w:left="885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**RM2000 x 12 bulan</w:t>
            </w: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4E78" w:rsidRDefault="00184E78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668FD" w:rsidRPr="001668FD" w:rsidRDefault="001668F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E51819" w:rsidRPr="0054487F" w:rsidRDefault="00E51819" w:rsidP="001668FD">
      <w:pPr>
        <w:spacing w:after="0"/>
        <w:rPr>
          <w:rFonts w:ascii="Arial" w:hAnsi="Arial" w:cs="Arial"/>
          <w:sz w:val="20"/>
          <w:szCs w:val="20"/>
          <w:lang w:val="ms-MY"/>
        </w:rPr>
      </w:pPr>
    </w:p>
    <w:sectPr w:rsidR="00E51819" w:rsidRPr="0054487F" w:rsidSect="00184E78">
      <w:headerReference w:type="default" r:id="rId8"/>
      <w:footerReference w:type="default" r:id="rId9"/>
      <w:pgSz w:w="11906" w:h="16838"/>
      <w:pgMar w:top="301" w:right="1440" w:bottom="851" w:left="1440" w:header="27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B5" w:rsidRDefault="000D6CB5" w:rsidP="00E51819">
      <w:pPr>
        <w:spacing w:after="0" w:line="240" w:lineRule="auto"/>
      </w:pPr>
      <w:r>
        <w:separator/>
      </w:r>
    </w:p>
  </w:endnote>
  <w:endnote w:type="continuationSeparator" w:id="0">
    <w:p w:rsidR="000D6CB5" w:rsidRDefault="000D6CB5" w:rsidP="00E5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20"/>
      </w:rPr>
      <w:id w:val="13317964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1264" w:rsidRPr="00AA1264" w:rsidRDefault="00AA1264" w:rsidP="00AA1264">
            <w:pPr>
              <w:pStyle w:val="Footer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AA1264">
              <w:rPr>
                <w:rFonts w:ascii="Arial" w:hAnsi="Arial" w:cs="Arial"/>
                <w:i/>
                <w:sz w:val="18"/>
                <w:szCs w:val="20"/>
              </w:rPr>
              <w:t>CAWANGAN KEJURUTERAAN ELEKTRIK</w:t>
            </w:r>
          </w:p>
          <w:p w:rsidR="00AA1264" w:rsidRPr="00AA1264" w:rsidRDefault="00AA1264" w:rsidP="00AA1264">
            <w:pPr>
              <w:pStyle w:val="Footer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A1264">
              <w:rPr>
                <w:rFonts w:ascii="Arial" w:hAnsi="Arial" w:cs="Arial"/>
                <w:i/>
                <w:sz w:val="18"/>
                <w:szCs w:val="20"/>
              </w:rPr>
              <w:t>IPJKR MALAYSIA</w:t>
            </w:r>
            <w:r w:rsidRPr="00AA1264">
              <w:rPr>
                <w:rFonts w:ascii="Arial" w:hAnsi="Arial" w:cs="Arial"/>
                <w:i/>
                <w:sz w:val="18"/>
                <w:szCs w:val="20"/>
              </w:rPr>
              <w:tab/>
            </w:r>
            <w:r w:rsidRPr="00AA1264">
              <w:rPr>
                <w:rFonts w:ascii="Arial" w:hAnsi="Arial" w:cs="Arial"/>
                <w:i/>
                <w:sz w:val="18"/>
                <w:szCs w:val="20"/>
              </w:rPr>
              <w:tab/>
            </w:r>
            <w:r w:rsidRPr="00AA1264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PAGE </w:instrTex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451B86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2</w: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AA1264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NUMPAGES  </w:instrTex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451B86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3</w: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E51819" w:rsidRPr="00E51819" w:rsidRDefault="00E51819">
    <w:pPr>
      <w:pStyle w:val="Foo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B5" w:rsidRDefault="000D6CB5" w:rsidP="00E51819">
      <w:pPr>
        <w:spacing w:after="0" w:line="240" w:lineRule="auto"/>
      </w:pPr>
      <w:r>
        <w:separator/>
      </w:r>
    </w:p>
  </w:footnote>
  <w:footnote w:type="continuationSeparator" w:id="0">
    <w:p w:rsidR="000D6CB5" w:rsidRDefault="000D6CB5" w:rsidP="00E5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8" w:rsidRPr="00184E78" w:rsidRDefault="00184E78" w:rsidP="00184E78">
    <w:pPr>
      <w:pStyle w:val="Header"/>
      <w:jc w:val="right"/>
      <w:rPr>
        <w:rFonts w:ascii="Arial" w:hAnsi="Arial" w:cs="Arial"/>
        <w:b/>
        <w:sz w:val="20"/>
      </w:rPr>
    </w:pPr>
    <w:r w:rsidRPr="00184E78">
      <w:rPr>
        <w:rFonts w:ascii="Arial" w:hAnsi="Arial" w:cs="Arial"/>
        <w:b/>
        <w:sz w:val="20"/>
      </w:rPr>
      <w:t>Jan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3114"/>
    <w:multiLevelType w:val="hybridMultilevel"/>
    <w:tmpl w:val="7E8C2C78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61F5"/>
    <w:multiLevelType w:val="hybridMultilevel"/>
    <w:tmpl w:val="E03CE588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>
    <w:nsid w:val="2B87182B"/>
    <w:multiLevelType w:val="hybridMultilevel"/>
    <w:tmpl w:val="FADEC9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F683C"/>
    <w:multiLevelType w:val="hybridMultilevel"/>
    <w:tmpl w:val="4718F9B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B7449"/>
    <w:multiLevelType w:val="hybridMultilevel"/>
    <w:tmpl w:val="C08E91EA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35B47CF4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383748A8"/>
    <w:multiLevelType w:val="hybridMultilevel"/>
    <w:tmpl w:val="453ECBAE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93666"/>
    <w:multiLevelType w:val="hybridMultilevel"/>
    <w:tmpl w:val="295276E0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43317731"/>
    <w:multiLevelType w:val="hybridMultilevel"/>
    <w:tmpl w:val="74E855B8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>
    <w:nsid w:val="45A64233"/>
    <w:multiLevelType w:val="hybridMultilevel"/>
    <w:tmpl w:val="0FBCDCBC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617B0"/>
    <w:multiLevelType w:val="hybridMultilevel"/>
    <w:tmpl w:val="D632E048"/>
    <w:lvl w:ilvl="0" w:tplc="15ACE19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C7D27"/>
    <w:multiLevelType w:val="hybridMultilevel"/>
    <w:tmpl w:val="0FBCDCBC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B0FCB"/>
    <w:multiLevelType w:val="hybridMultilevel"/>
    <w:tmpl w:val="A02C24FC"/>
    <w:lvl w:ilvl="0" w:tplc="77FA44AA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3">
    <w:nsid w:val="699B3CA2"/>
    <w:multiLevelType w:val="hybridMultilevel"/>
    <w:tmpl w:val="4F0A9702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4">
    <w:nsid w:val="6B556FED"/>
    <w:multiLevelType w:val="hybridMultilevel"/>
    <w:tmpl w:val="702CDB9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E1D68"/>
    <w:multiLevelType w:val="hybridMultilevel"/>
    <w:tmpl w:val="9596FF7C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74953BAB"/>
    <w:multiLevelType w:val="hybridMultilevel"/>
    <w:tmpl w:val="978C81AE"/>
    <w:lvl w:ilvl="0" w:tplc="E4483B2C">
      <w:start w:val="1"/>
      <w:numFmt w:val="lowerRoman"/>
      <w:lvlText w:val="%1."/>
      <w:lvlJc w:val="left"/>
      <w:pPr>
        <w:ind w:left="10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>
    <w:nsid w:val="75A473A8"/>
    <w:multiLevelType w:val="hybridMultilevel"/>
    <w:tmpl w:val="D3BA102C"/>
    <w:lvl w:ilvl="0" w:tplc="1A8CB1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8"/>
  </w:num>
  <w:num w:numId="5">
    <w:abstractNumId w:val="10"/>
  </w:num>
  <w:num w:numId="6">
    <w:abstractNumId w:val="2"/>
  </w:num>
  <w:num w:numId="7">
    <w:abstractNumId w:val="15"/>
  </w:num>
  <w:num w:numId="8">
    <w:abstractNumId w:val="5"/>
  </w:num>
  <w:num w:numId="9">
    <w:abstractNumId w:val="1"/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19"/>
    <w:rsid w:val="000D6CB5"/>
    <w:rsid w:val="001668FD"/>
    <w:rsid w:val="00184E78"/>
    <w:rsid w:val="001D7558"/>
    <w:rsid w:val="002C6F58"/>
    <w:rsid w:val="00340CBA"/>
    <w:rsid w:val="00451B86"/>
    <w:rsid w:val="00493760"/>
    <w:rsid w:val="004C658E"/>
    <w:rsid w:val="0054487F"/>
    <w:rsid w:val="0056047F"/>
    <w:rsid w:val="005E7B56"/>
    <w:rsid w:val="00622370"/>
    <w:rsid w:val="006E7179"/>
    <w:rsid w:val="007930FB"/>
    <w:rsid w:val="007A2846"/>
    <w:rsid w:val="009341EB"/>
    <w:rsid w:val="009C2C74"/>
    <w:rsid w:val="00A20B20"/>
    <w:rsid w:val="00A52CED"/>
    <w:rsid w:val="00A72B6C"/>
    <w:rsid w:val="00AA1264"/>
    <w:rsid w:val="00AA3CEF"/>
    <w:rsid w:val="00BE195C"/>
    <w:rsid w:val="00C735FA"/>
    <w:rsid w:val="00E51819"/>
    <w:rsid w:val="00E94882"/>
    <w:rsid w:val="00F5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19"/>
  </w:style>
  <w:style w:type="paragraph" w:styleId="Footer">
    <w:name w:val="footer"/>
    <w:basedOn w:val="Normal"/>
    <w:link w:val="Foot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19"/>
  </w:style>
  <w:style w:type="table" w:styleId="TableGrid">
    <w:name w:val="Table Grid"/>
    <w:basedOn w:val="TableNormal"/>
    <w:uiPriority w:val="59"/>
    <w:rsid w:val="00E5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19"/>
  </w:style>
  <w:style w:type="paragraph" w:styleId="Footer">
    <w:name w:val="footer"/>
    <w:basedOn w:val="Normal"/>
    <w:link w:val="Foot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19"/>
  </w:style>
  <w:style w:type="table" w:styleId="TableGrid">
    <w:name w:val="Table Grid"/>
    <w:basedOn w:val="TableNormal"/>
    <w:uiPriority w:val="59"/>
    <w:rsid w:val="00E5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User(JKR)</cp:lastModifiedBy>
  <cp:revision>6</cp:revision>
  <cp:lastPrinted>2021-01-21T07:13:00Z</cp:lastPrinted>
  <dcterms:created xsi:type="dcterms:W3CDTF">2021-01-21T07:14:00Z</dcterms:created>
  <dcterms:modified xsi:type="dcterms:W3CDTF">2021-01-21T07:31:00Z</dcterms:modified>
</cp:coreProperties>
</file>